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B03A2E"/>
          <w:spacing w:val="20"/>
          <w:sz w:val="20"/>
          <w:szCs w:val="20"/>
        </w:rPr>
        <w:t xml:space="preserve">ESTUDIO DE CASO — TRABAJO EN CASA</w:t>
      </w:r>
    </w:p>
    <w:p>
      <w:pPr>
        <w:spacing w:after="100"/>
        <w:jc w:val="center"/>
      </w:pPr>
      <w:r>
        <w:rPr>
          <w:rFonts w:ascii="Cambria" w:cs="Cambria" w:eastAsia="Cambria" w:hAnsi="Cambria"/>
          <w:b/>
          <w:bCs/>
          <w:color w:val="1B2A4A"/>
          <w:sz w:val="34"/>
          <w:szCs w:val="34"/>
        </w:rPr>
        <w:t xml:space="preserve">Andina Fresh: el reto de mercadear un producto colombiano en el mundo</w:t>
      </w:r>
    </w:p>
    <w:p>
      <w:pPr>
        <w:spacing w:after="240"/>
        <w:jc w:val="center"/>
      </w:pPr>
      <w:r>
        <w:rPr>
          <w:rFonts w:ascii="Calibri" w:cs="Calibri" w:eastAsia="Calibri" w:hAnsi="Calibri"/>
          <w:i/>
          <w:iCs/>
          <w:color w:val="2C4270"/>
          <w:sz w:val="22"/>
          <w:szCs w:val="22"/>
        </w:rPr>
        <w:t xml:space="preserve">Semanas 1–2 · Unidad 1: Fundamentos Teóricos del Mercadeo (RA1)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800"/>
        <w:gridCol w:w="6740"/>
      </w:tblGrid>
      <w:tr>
        <w:tc>
          <w:tcPr>
            <w:tcW w:type="dxa" w:w="2800"/>
            <w:shd w:fill="1B2A4A" w:val="clear"/>
            <w:tcMar>
              <w:top w:type="dxa" w:w="100"/>
              <w:left w:type="dxa" w:w="150"/>
              <w:bottom w:type="dxa" w:w="100"/>
              <w:right w:type="dxa" w:w="150"/>
            </w:tcMar>
          </w:tcPr>
          <w:p>
            <w:r>
              <w:rPr>
                <w:rFonts w:ascii="Calibri" w:cs="Calibri" w:eastAsia="Calibri" w:hAnsi="Calibri"/>
                <w:b/>
                <w:bCs/>
                <w:color w:val="FFFFFF"/>
                <w:sz w:val="20"/>
                <w:szCs w:val="20"/>
              </w:rPr>
              <w:t xml:space="preserve">Nombre del estudiante</w:t>
            </w:r>
          </w:p>
        </w:tc>
        <w:tc>
          <w:tcPr>
            <w:tcW w:type="dxa" w:w="6740"/>
            <w:tcMar>
              <w:top w:type="dxa" w:w="100"/>
              <w:left w:type="dxa" w:w="150"/>
              <w:bottom w:type="dxa" w:w="100"/>
              <w:right w:type="dxa" w:w="150"/>
            </w:tcMar>
          </w:tcPr>
          <w:p>
            <w:r>
              <w:rPr>
                <w:rFonts w:ascii="Calibri" w:cs="Calibri" w:eastAsia="Calibri" w:hAnsi="Calibri"/>
                <w:color w:val="3B3B3B"/>
                <w:sz w:val="20"/>
                <w:szCs w:val="20"/>
              </w:rPr>
              <w:t xml:space="preserve">________________________________________________</w:t>
            </w:r>
          </w:p>
        </w:tc>
      </w:tr>
      <w:tr>
        <w:tc>
          <w:tcPr>
            <w:tcW w:type="dxa" w:w="2800"/>
            <w:shd w:fill="1B2A4A" w:val="clear"/>
            <w:tcMar>
              <w:top w:type="dxa" w:w="100"/>
              <w:left w:type="dxa" w:w="150"/>
              <w:bottom w:type="dxa" w:w="100"/>
              <w:right w:type="dxa" w:w="150"/>
            </w:tcMar>
          </w:tcPr>
          <w:p>
            <w:r>
              <w:rPr>
                <w:rFonts w:ascii="Calibri" w:cs="Calibri" w:eastAsia="Calibri" w:hAnsi="Calibri"/>
                <w:b/>
                <w:bCs/>
                <w:color w:val="FFFFFF"/>
                <w:sz w:val="20"/>
                <w:szCs w:val="20"/>
              </w:rPr>
              <w:t xml:space="preserve">Fecha de entrega</w:t>
            </w:r>
          </w:p>
        </w:tc>
        <w:tc>
          <w:tcPr>
            <w:tcW w:type="dxa" w:w="6740"/>
            <w:tcMar>
              <w:top w:type="dxa" w:w="100"/>
              <w:left w:type="dxa" w:w="150"/>
              <w:bottom w:type="dxa" w:w="100"/>
              <w:right w:type="dxa" w:w="150"/>
            </w:tcMar>
          </w:tcPr>
          <w:p>
            <w:r>
              <w:rPr>
                <w:rFonts w:ascii="Calibri" w:cs="Calibri" w:eastAsia="Calibri" w:hAnsi="Calibri"/>
                <w:color w:val="3B3B3B"/>
                <w:sz w:val="20"/>
                <w:szCs w:val="20"/>
              </w:rPr>
              <w:t xml:space="preserve">Antes de la Semana 3</w:t>
            </w:r>
          </w:p>
        </w:tc>
      </w:tr>
      <w:tr>
        <w:tc>
          <w:tcPr>
            <w:tcW w:type="dxa" w:w="2800"/>
            <w:shd w:fill="1B2A4A" w:val="clear"/>
            <w:tcMar>
              <w:top w:type="dxa" w:w="100"/>
              <w:left w:type="dxa" w:w="150"/>
              <w:bottom w:type="dxa" w:w="100"/>
              <w:right w:type="dxa" w:w="150"/>
            </w:tcMar>
          </w:tcPr>
          <w:p>
            <w:r>
              <w:rPr>
                <w:rFonts w:ascii="Calibri" w:cs="Calibri" w:eastAsia="Calibri" w:hAnsi="Calibri"/>
                <w:b/>
                <w:bCs/>
                <w:color w:val="FFFFFF"/>
                <w:sz w:val="20"/>
                <w:szCs w:val="20"/>
              </w:rPr>
              <w:t xml:space="preserve">Formato de entrega</w:t>
            </w:r>
          </w:p>
        </w:tc>
        <w:tc>
          <w:tcPr>
            <w:tcW w:type="dxa" w:w="6740"/>
            <w:tcMar>
              <w:top w:type="dxa" w:w="100"/>
              <w:left w:type="dxa" w:w="150"/>
              <w:bottom w:type="dxa" w:w="100"/>
              <w:right w:type="dxa" w:w="150"/>
            </w:tcMar>
          </w:tcPr>
          <w:p>
            <w:r>
              <w:rPr>
                <w:rFonts w:ascii="Calibri" w:cs="Calibri" w:eastAsia="Calibri" w:hAnsi="Calibri"/>
                <w:color w:val="3B3B3B"/>
                <w:sz w:val="20"/>
                <w:szCs w:val="20"/>
              </w:rPr>
              <w:t xml:space="preserve">Este documento diligenciado (Word o PDF)</w:t>
            </w:r>
          </w:p>
        </w:tc>
      </w:tr>
    </w:tbl>
    <w:p>
      <w:pPr>
        <w:pStyle w:val="Heading1"/>
        <w:spacing w:after="120" w:before="260"/>
      </w:pPr>
      <w:r>
        <w:rPr>
          <w:rFonts w:ascii="Cambria" w:cs="Cambria" w:eastAsia="Cambria" w:hAnsi="Cambria"/>
          <w:b/>
          <w:bCs/>
          <w:color w:val="1B2A4A"/>
          <w:sz w:val="28"/>
          <w:szCs w:val="28"/>
        </w:rPr>
        <w:t xml:space="preserve">Contexto de la empresa</w:t>
      </w:r>
    </w:p>
    <w:p>
      <w:pPr>
        <w:spacing w:after="160" w:line="300"/>
        <w:jc w:val="both"/>
      </w:pPr>
      <w:r>
        <w:rPr>
          <w:rFonts w:ascii="Calibri" w:cs="Calibri" w:eastAsia="Calibri" w:hAnsi="Calibri"/>
          <w:color w:val="3B3B3B"/>
          <w:sz w:val="22"/>
          <w:szCs w:val="22"/>
        </w:rPr>
        <w:t xml:space="preserve">Andina Fresh es una empresa colombiana, fundada hace ocho años en el Eje Cafetero, dedicada a la producción y comercialización de café especial y pulpa de fruta congelada (maracuyá, mango y mora) para consumo directo e ingredientes de la industria alimentaria. Durante sus primeros años, la compañía concentró su estrategia en producir grandes volúmenes a bajo costo y venderlos a distribuidores mayoristas nacionales, con poca diferenciación frente a otros productores de la región.</w:t>
      </w:r>
    </w:p>
    <w:p>
      <w:pPr>
        <w:spacing w:after="160" w:line="300"/>
        <w:jc w:val="both"/>
      </w:pPr>
      <w:r>
        <w:rPr>
          <w:rFonts w:ascii="Calibri" w:cs="Calibri" w:eastAsia="Calibri" w:hAnsi="Calibri"/>
          <w:color w:val="3B3B3B"/>
          <w:sz w:val="22"/>
          <w:szCs w:val="22"/>
        </w:rPr>
        <w:t xml:space="preserve">En los últimos dos años, la gerencia general decidió replantear su forma de competir. Contrató un equipo de mercadeo, lanzó una línea de café de origen certificado y empezó a vender directamente a consumidores finales a través de una tienda en línea y redes sociales. Además, firmó sus primeros contratos de exportación con un distribuidor en Alemania y una cadena de tiendas naturistas en Estados Unidos, motivada por la creciente demanda internacional de cafés sostenibles y trazables.</w:t>
      </w:r>
    </w:p>
    <w:p>
      <w:pPr>
        <w:spacing w:after="160" w:line="300"/>
        <w:jc w:val="both"/>
      </w:pPr>
      <w:r>
        <w:rPr>
          <w:rFonts w:ascii="Calibri" w:cs="Calibri" w:eastAsia="Calibri" w:hAnsi="Calibri"/>
          <w:color w:val="3B3B3B"/>
          <w:sz w:val="22"/>
          <w:szCs w:val="22"/>
        </w:rPr>
        <w:t xml:space="preserve">Sin embargo, el gerente general reconoce que el equipo aún no tiene claridad sobre cómo describir su propio enfoque de mercadeo, qué actores de su entorno cercano son más críticos para sostener la operación de exportación, ni qué factores del entorno externo podrían representar oportunidades o amenazas en los mercados donde ya está entrando o le gustaría entrar.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EF3FB" w:val="clear"/>
            <w:tcMar>
              <w:top w:type="dxa" w:w="160"/>
              <w:left w:type="dxa" w:w="200"/>
              <w:bottom w:type="dxa" w:w="160"/>
              <w:right w:type="dxa" w:w="200"/>
            </w:tcMar>
          </w:tcPr>
          <w:p>
            <w:r>
              <w:rPr>
                <w:rFonts w:ascii="Calibri" w:cs="Calibri" w:eastAsia="Calibri" w:hAnsi="Calibri"/>
                <w:i/>
                <w:iCs/>
                <w:color w:val="2C4270"/>
                <w:sz w:val="22"/>
                <w:szCs w:val="22"/>
              </w:rPr>
              <w:t xml:space="preserve">Su tarea: ponerse en el lugar del equipo de mercadeo de Andina Fresh y responder las preguntas de análisis a partir de los conceptos trabajados en la sesión (concepto de mercadeo, evolución, enfoques, entorno del mercadeo y PESTEL).</w:t>
            </w:r>
          </w:p>
        </w:tc>
      </w:tr>
    </w:tbl>
    <w:p>
      <w:pPr>
        <w:pStyle w:val="Heading1"/>
        <w:spacing w:after="120" w:before="260"/>
      </w:pPr>
      <w:r>
        <w:rPr>
          <w:rFonts w:ascii="Cambria" w:cs="Cambria" w:eastAsia="Cambria" w:hAnsi="Cambria"/>
          <w:b/>
          <w:bCs/>
          <w:color w:val="1B2A4A"/>
          <w:sz w:val="28"/>
          <w:szCs w:val="28"/>
        </w:rPr>
        <w:t xml:space="preserve">Preguntas de análisis</w:t>
      </w:r>
    </w:p>
    <w:p>
      <w:pPr>
        <w:pStyle w:val="Heading2"/>
        <w:spacing w:after="100" w:before="200"/>
      </w:pPr>
      <w:r>
        <w:rPr>
          <w:rFonts w:ascii="Cambria" w:cs="Cambria" w:eastAsia="Cambria" w:hAnsi="Cambria"/>
          <w:b/>
          <w:bCs/>
          <w:color w:val="B03A2E"/>
          <w:sz w:val="24"/>
          <w:szCs w:val="24"/>
        </w:rPr>
        <w:t xml:space="preserve">Parte 1 · Concepto y evolución del mercadeo</w:t>
      </w:r>
    </w:p>
    <w:p>
      <w:pPr>
        <w:spacing w:after="60" w:before="140"/>
      </w:pPr>
      <w:r>
        <w:rPr>
          <w:rFonts w:ascii="Calibri" w:cs="Calibri" w:eastAsia="Calibri" w:hAnsi="Calibri"/>
          <w:b/>
          <w:bCs/>
          <w:color w:val="1B2A4A"/>
          <w:sz w:val="22"/>
          <w:szCs w:val="22"/>
        </w:rPr>
        <w:t xml:space="preserve">1. </w:t>
      </w:r>
      <w:r>
        <w:rPr>
          <w:rFonts w:ascii="Calibri" w:cs="Calibri" w:eastAsia="Calibri" w:hAnsi="Calibri"/>
          <w:b/>
          <w:bCs/>
          <w:color w:val="1B2A4A"/>
          <w:sz w:val="22"/>
          <w:szCs w:val="22"/>
        </w:rPr>
        <w:t xml:space="preserve">Con base en las definiciones de la AMA y de Kotler, expliquen con sus propias palabras qué significa “crear valor” para un cliente de Andina Fresh.</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spacing w:after="60" w:before="140"/>
      </w:pPr>
      <w:r>
        <w:rPr>
          <w:rFonts w:ascii="Calibri" w:cs="Calibri" w:eastAsia="Calibri" w:hAnsi="Calibri"/>
          <w:b/>
          <w:bCs/>
          <w:color w:val="1B2A4A"/>
          <w:sz w:val="22"/>
          <w:szCs w:val="22"/>
        </w:rPr>
        <w:t xml:space="preserve">2. </w:t>
      </w:r>
      <w:r>
        <w:rPr>
          <w:rFonts w:ascii="Calibri" w:cs="Calibri" w:eastAsia="Calibri" w:hAnsi="Calibri"/>
          <w:b/>
          <w:bCs/>
          <w:color w:val="1B2A4A"/>
          <w:sz w:val="22"/>
          <w:szCs w:val="22"/>
        </w:rPr>
        <w:t xml:space="preserve">Ubiquen a Andina Fresh en la línea de evolución del mercadeo (transaccional → relacional → digital). Justifiquen su respuesta citando al menos dos hechos del caso.</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Style w:val="Heading2"/>
        <w:spacing w:after="100" w:before="200"/>
      </w:pPr>
      <w:r>
        <w:rPr>
          <w:rFonts w:ascii="Cambria" w:cs="Cambria" w:eastAsia="Cambria" w:hAnsi="Cambria"/>
          <w:b/>
          <w:bCs/>
          <w:color w:val="B03A2E"/>
          <w:sz w:val="24"/>
          <w:szCs w:val="24"/>
        </w:rPr>
        <w:t xml:space="preserve">Parte 2 · Enfoques de gestión del mercadeo</w:t>
      </w:r>
    </w:p>
    <w:p>
      <w:pPr>
        <w:spacing w:after="60" w:before="140"/>
      </w:pPr>
      <w:r>
        <w:rPr>
          <w:rFonts w:ascii="Calibri" w:cs="Calibri" w:eastAsia="Calibri" w:hAnsi="Calibri"/>
          <w:b/>
          <w:bCs/>
          <w:color w:val="1B2A4A"/>
          <w:sz w:val="22"/>
          <w:szCs w:val="22"/>
        </w:rPr>
        <w:t xml:space="preserve">3. </w:t>
      </w:r>
      <w:r>
        <w:rPr>
          <w:rFonts w:ascii="Calibri" w:cs="Calibri" w:eastAsia="Calibri" w:hAnsi="Calibri"/>
          <w:b/>
          <w:bCs/>
          <w:color w:val="1B2A4A"/>
          <w:sz w:val="22"/>
          <w:szCs w:val="22"/>
        </w:rPr>
        <w:t xml:space="preserve">¿Qué enfoque de mercadeo predominaba en Andina Fresh durante sus primeros años, y cuál predomina hoy? Sustenten con evidencia del caso.</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spacing w:after="60" w:before="140"/>
      </w:pPr>
      <w:r>
        <w:rPr>
          <w:rFonts w:ascii="Calibri" w:cs="Calibri" w:eastAsia="Calibri" w:hAnsi="Calibri"/>
          <w:b/>
          <w:bCs/>
          <w:color w:val="1B2A4A"/>
          <w:sz w:val="22"/>
          <w:szCs w:val="22"/>
        </w:rPr>
        <w:t xml:space="preserve">4. </w:t>
      </w:r>
      <w:r>
        <w:rPr>
          <w:rFonts w:ascii="Calibri" w:cs="Calibri" w:eastAsia="Calibri" w:hAnsi="Calibri"/>
          <w:b/>
          <w:bCs/>
          <w:color w:val="1B2A4A"/>
          <w:sz w:val="22"/>
          <w:szCs w:val="22"/>
        </w:rPr>
        <w:t xml:space="preserve">Si Andina Fresh quisiera avanzar hacia un enfoque social u holístico, propongan una acción concreta que podría implementar.</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Style w:val="Heading2"/>
        <w:spacing w:after="100" w:before="200"/>
      </w:pPr>
      <w:r>
        <w:rPr>
          <w:rFonts w:ascii="Cambria" w:cs="Cambria" w:eastAsia="Cambria" w:hAnsi="Cambria"/>
          <w:b/>
          <w:bCs/>
          <w:color w:val="B03A2E"/>
          <w:sz w:val="24"/>
          <w:szCs w:val="24"/>
        </w:rPr>
        <w:t xml:space="preserve">Parte 3 · Microentorno</w:t>
      </w:r>
    </w:p>
    <w:p>
      <w:pPr>
        <w:spacing w:after="60" w:before="140"/>
      </w:pPr>
      <w:r>
        <w:rPr>
          <w:rFonts w:ascii="Calibri" w:cs="Calibri" w:eastAsia="Calibri" w:hAnsi="Calibri"/>
          <w:b/>
          <w:bCs/>
          <w:color w:val="1B2A4A"/>
          <w:sz w:val="22"/>
          <w:szCs w:val="22"/>
        </w:rPr>
        <w:t xml:space="preserve">5. </w:t>
      </w:r>
      <w:r>
        <w:rPr>
          <w:rFonts w:ascii="Calibri" w:cs="Calibri" w:eastAsia="Calibri" w:hAnsi="Calibri"/>
          <w:b/>
          <w:bCs/>
          <w:color w:val="1B2A4A"/>
          <w:sz w:val="22"/>
          <w:szCs w:val="22"/>
        </w:rPr>
        <w:t xml:space="preserve">Identifiquen al menos tres actores del microentorno de Andina Fresh (proveedores, intermediarios, clientes o competencia) y expliquen por qué son relevantes para su estrategia de exportación.</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Style w:val="Heading2"/>
        <w:spacing w:after="100" w:before="200"/>
      </w:pPr>
      <w:r>
        <w:rPr>
          <w:rFonts w:ascii="Cambria" w:cs="Cambria" w:eastAsia="Cambria" w:hAnsi="Cambria"/>
          <w:b/>
          <w:bCs/>
          <w:color w:val="B03A2E"/>
          <w:sz w:val="24"/>
          <w:szCs w:val="24"/>
        </w:rPr>
        <w:t xml:space="preserve">Parte 4 · Macroentorno (PESTEL)</w:t>
      </w:r>
    </w:p>
    <w:p>
      <w:pPr>
        <w:spacing w:after="60" w:before="140"/>
      </w:pPr>
      <w:r>
        <w:rPr>
          <w:rFonts w:ascii="Calibri" w:cs="Calibri" w:eastAsia="Calibri" w:hAnsi="Calibri"/>
          <w:b/>
          <w:bCs/>
          <w:color w:val="1B2A4A"/>
          <w:sz w:val="22"/>
          <w:szCs w:val="22"/>
        </w:rPr>
        <w:t xml:space="preserve">6. </w:t>
      </w:r>
      <w:r>
        <w:rPr>
          <w:rFonts w:ascii="Calibri" w:cs="Calibri" w:eastAsia="Calibri" w:hAnsi="Calibri"/>
          <w:b/>
          <w:bCs/>
          <w:color w:val="1B2A4A"/>
          <w:sz w:val="22"/>
          <w:szCs w:val="22"/>
        </w:rPr>
        <w:t xml:space="preserve">Seleccionen tres factores PESTEL y evalúen si representan una oportunidad o una amenaza para la expansión de Andina Fresh hacia Alemania y Estados Unidos.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000"/>
        <w:gridCol w:w="3800"/>
        <w:gridCol w:w="3740"/>
      </w:tblGrid>
      <w:tr>
        <w:tc>
          <w:tcPr>
            <w:tcW w:type="dxa" w:w="2000"/>
            <w:shd w:fill="1B2A4A" w:val="clear"/>
            <w:tcMar>
              <w:top w:type="dxa" w:w="90"/>
              <w:left w:type="dxa" w:w="120"/>
              <w:bottom w:type="dxa" w:w="90"/>
              <w:right w:type="dxa" w:w="120"/>
            </w:tcMar>
          </w:tcPr>
          <w:p>
            <w:r>
              <w:rPr>
                <w:rFonts w:ascii="Calibri" w:cs="Calibri" w:eastAsia="Calibri" w:hAnsi="Calibri"/>
                <w:b/>
                <w:bCs/>
                <w:color w:val="FFFFFF"/>
                <w:sz w:val="20"/>
                <w:szCs w:val="20"/>
              </w:rPr>
              <w:t xml:space="preserve">Factor PESTEL</w:t>
            </w:r>
          </w:p>
        </w:tc>
        <w:tc>
          <w:tcPr>
            <w:tcW w:type="dxa" w:w="3800"/>
            <w:shd w:fill="1B2A4A" w:val="clear"/>
            <w:tcMar>
              <w:top w:type="dxa" w:w="90"/>
              <w:left w:type="dxa" w:w="120"/>
              <w:bottom w:type="dxa" w:w="90"/>
              <w:right w:type="dxa" w:w="120"/>
            </w:tcMar>
          </w:tcPr>
          <w:p>
            <w:r>
              <w:rPr>
                <w:rFonts w:ascii="Calibri" w:cs="Calibri" w:eastAsia="Calibri" w:hAnsi="Calibri"/>
                <w:b/>
                <w:bCs/>
                <w:color w:val="FFFFFF"/>
                <w:sz w:val="20"/>
                <w:szCs w:val="20"/>
              </w:rPr>
              <w:t xml:space="preserve">Oportunidad / Amenaza</w:t>
            </w:r>
          </w:p>
        </w:tc>
        <w:tc>
          <w:tcPr>
            <w:tcW w:type="dxa" w:w="3740"/>
            <w:shd w:fill="1B2A4A" w:val="clear"/>
            <w:tcMar>
              <w:top w:type="dxa" w:w="90"/>
              <w:left w:type="dxa" w:w="120"/>
              <w:bottom w:type="dxa" w:w="90"/>
              <w:right w:type="dxa" w:w="120"/>
            </w:tcMar>
          </w:tcPr>
          <w:p>
            <w:r>
              <w:rPr>
                <w:rFonts w:ascii="Calibri" w:cs="Calibri" w:eastAsia="Calibri" w:hAnsi="Calibri"/>
                <w:b/>
                <w:bCs/>
                <w:color w:val="FFFFFF"/>
                <w:sz w:val="20"/>
                <w:szCs w:val="20"/>
              </w:rPr>
              <w:t xml:space="preserve">Justificación breve</w:t>
            </w:r>
          </w:p>
        </w:tc>
      </w:tr>
      <w:tr>
        <w:tc>
          <w:tcPr>
            <w:tcW w:type="dxa" w:w="2000"/>
            <w:tcMar>
              <w:top w:type="dxa" w:w="260"/>
              <w:left w:type="dxa" w:w="120"/>
              <w:bottom w:type="dxa" w:w="260"/>
              <w:right w:type="dxa" w:w="120"/>
            </w:tcMar>
          </w:tcPr>
          <w:p>
            <w:r>
              <w:rPr>
                <w:sz w:val="20"/>
                <w:szCs w:val="20"/>
              </w:rPr>
              <w:t xml:space="preserve"> </w:t>
            </w:r>
          </w:p>
        </w:tc>
        <w:tc>
          <w:tcPr>
            <w:tcW w:type="dxa" w:w="3800"/>
            <w:tcMar>
              <w:top w:type="dxa" w:w="260"/>
              <w:left w:type="dxa" w:w="120"/>
              <w:bottom w:type="dxa" w:w="260"/>
              <w:right w:type="dxa" w:w="120"/>
            </w:tcMar>
          </w:tcPr>
          <w:p>
            <w:r>
              <w:rPr>
                <w:sz w:val="20"/>
                <w:szCs w:val="20"/>
              </w:rPr>
              <w:t xml:space="preserve"> </w:t>
            </w:r>
          </w:p>
        </w:tc>
        <w:tc>
          <w:tcPr>
            <w:tcW w:type="dxa" w:w="3740"/>
            <w:tcMar>
              <w:top w:type="dxa" w:w="260"/>
              <w:left w:type="dxa" w:w="120"/>
              <w:bottom w:type="dxa" w:w="260"/>
              <w:right w:type="dxa" w:w="120"/>
            </w:tcMar>
          </w:tcPr>
          <w:p>
            <w:r>
              <w:rPr>
                <w:sz w:val="20"/>
                <w:szCs w:val="20"/>
              </w:rPr>
              <w:t xml:space="preserve"> </w:t>
            </w:r>
          </w:p>
        </w:tc>
      </w:tr>
      <w:tr>
        <w:tc>
          <w:tcPr>
            <w:tcW w:type="dxa" w:w="2000"/>
            <w:tcMar>
              <w:top w:type="dxa" w:w="260"/>
              <w:left w:type="dxa" w:w="120"/>
              <w:bottom w:type="dxa" w:w="260"/>
              <w:right w:type="dxa" w:w="120"/>
            </w:tcMar>
          </w:tcPr>
          <w:p>
            <w:r>
              <w:rPr>
                <w:sz w:val="20"/>
                <w:szCs w:val="20"/>
              </w:rPr>
              <w:t xml:space="preserve"> </w:t>
            </w:r>
          </w:p>
        </w:tc>
        <w:tc>
          <w:tcPr>
            <w:tcW w:type="dxa" w:w="3800"/>
            <w:tcMar>
              <w:top w:type="dxa" w:w="260"/>
              <w:left w:type="dxa" w:w="120"/>
              <w:bottom w:type="dxa" w:w="260"/>
              <w:right w:type="dxa" w:w="120"/>
            </w:tcMar>
          </w:tcPr>
          <w:p>
            <w:r>
              <w:rPr>
                <w:sz w:val="20"/>
                <w:szCs w:val="20"/>
              </w:rPr>
              <w:t xml:space="preserve"> </w:t>
            </w:r>
          </w:p>
        </w:tc>
        <w:tc>
          <w:tcPr>
            <w:tcW w:type="dxa" w:w="3740"/>
            <w:tcMar>
              <w:top w:type="dxa" w:w="260"/>
              <w:left w:type="dxa" w:w="120"/>
              <w:bottom w:type="dxa" w:w="260"/>
              <w:right w:type="dxa" w:w="120"/>
            </w:tcMar>
          </w:tcPr>
          <w:p>
            <w:r>
              <w:rPr>
                <w:sz w:val="20"/>
                <w:szCs w:val="20"/>
              </w:rPr>
              <w:t xml:space="preserve"> </w:t>
            </w:r>
          </w:p>
        </w:tc>
      </w:tr>
      <w:tr>
        <w:tc>
          <w:tcPr>
            <w:tcW w:type="dxa" w:w="2000"/>
            <w:tcMar>
              <w:top w:type="dxa" w:w="260"/>
              <w:left w:type="dxa" w:w="120"/>
              <w:bottom w:type="dxa" w:w="260"/>
              <w:right w:type="dxa" w:w="120"/>
            </w:tcMar>
          </w:tcPr>
          <w:p>
            <w:r>
              <w:rPr>
                <w:sz w:val="20"/>
                <w:szCs w:val="20"/>
              </w:rPr>
              <w:t xml:space="preserve"> </w:t>
            </w:r>
          </w:p>
        </w:tc>
        <w:tc>
          <w:tcPr>
            <w:tcW w:type="dxa" w:w="3800"/>
            <w:tcMar>
              <w:top w:type="dxa" w:w="260"/>
              <w:left w:type="dxa" w:w="120"/>
              <w:bottom w:type="dxa" w:w="260"/>
              <w:right w:type="dxa" w:w="120"/>
            </w:tcMar>
          </w:tcPr>
          <w:p>
            <w:r>
              <w:rPr>
                <w:sz w:val="20"/>
                <w:szCs w:val="20"/>
              </w:rPr>
              <w:t xml:space="preserve"> </w:t>
            </w:r>
          </w:p>
        </w:tc>
        <w:tc>
          <w:tcPr>
            <w:tcW w:type="dxa" w:w="3740"/>
            <w:tcMar>
              <w:top w:type="dxa" w:w="260"/>
              <w:left w:type="dxa" w:w="120"/>
              <w:bottom w:type="dxa" w:w="260"/>
              <w:right w:type="dxa" w:w="120"/>
            </w:tcMar>
          </w:tcPr>
          <w:p>
            <w:r>
              <w:rPr>
                <w:sz w:val="20"/>
                <w:szCs w:val="20"/>
              </w:rPr>
              <w:t xml:space="preserve"> </w:t>
            </w:r>
          </w:p>
        </w:tc>
      </w:tr>
    </w:tbl>
    <w:p>
      <w:pPr>
        <w:spacing w:after="200"/>
      </w:pPr>
    </w:p>
    <w:p>
      <w:pPr>
        <w:pStyle w:val="Heading2"/>
        <w:spacing w:after="100" w:before="200"/>
      </w:pPr>
      <w:r>
        <w:rPr>
          <w:rFonts w:ascii="Cambria" w:cs="Cambria" w:eastAsia="Cambria" w:hAnsi="Cambria"/>
          <w:b/>
          <w:bCs/>
          <w:color w:val="B03A2E"/>
          <w:sz w:val="24"/>
          <w:szCs w:val="24"/>
        </w:rPr>
        <w:t xml:space="preserve">Parte 5 · Recomendación final</w:t>
      </w:r>
    </w:p>
    <w:p>
      <w:pPr>
        <w:spacing w:after="60" w:before="140"/>
      </w:pPr>
      <w:r>
        <w:rPr>
          <w:rFonts w:ascii="Calibri" w:cs="Calibri" w:eastAsia="Calibri" w:hAnsi="Calibri"/>
          <w:b/>
          <w:bCs/>
          <w:color w:val="1B2A4A"/>
          <w:sz w:val="22"/>
          <w:szCs w:val="22"/>
        </w:rPr>
        <w:t xml:space="preserve">7. </w:t>
      </w:r>
      <w:r>
        <w:rPr>
          <w:rFonts w:ascii="Calibri" w:cs="Calibri" w:eastAsia="Calibri" w:hAnsi="Calibri"/>
          <w:b/>
          <w:bCs/>
          <w:color w:val="1B2A4A"/>
          <w:sz w:val="22"/>
          <w:szCs w:val="22"/>
        </w:rPr>
        <w:t xml:space="preserve">En un máximo de ocho líneas, redacten una recomendación al gerente general de Andina Fresh sobre cómo debería equilibrar su enfoque de mercadeo con los factores de su micro y macroentorno para sostener su proceso de internacionalización.</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Bdr>
          <w:bottom w:val="single" w:color="B9C6DC" w:sz="4"/>
        </w:pBdr>
        <w:spacing w:after="0" w:before="60"/>
      </w:pPr>
      <w:r>
        <w:rPr>
          <w:sz w:val="22"/>
          <w:szCs w:val="22"/>
        </w:rPr>
        <w:t xml:space="preserve"> </w:t>
      </w:r>
    </w:p>
    <w:p>
      <w:pPr>
        <w:spacing w:after="0"/>
      </w:pPr>
      <w:r>
        <w:rPr>
          <w:sz w:val="8"/>
          <w:szCs w:val="8"/>
        </w:rPr>
        <w:t xml:space="preserve"> </w:t>
      </w:r>
    </w:p>
    <w:p>
      <w:pPr>
        <w:pStyle w:val="Heading1"/>
        <w:spacing w:after="120" w:before="260"/>
      </w:pPr>
      <w:r>
        <w:rPr>
          <w:rFonts w:ascii="Cambria" w:cs="Cambria" w:eastAsia="Cambria" w:hAnsi="Cambria"/>
          <w:b/>
          <w:bCs/>
          <w:color w:val="1B2A4A"/>
          <w:sz w:val="28"/>
          <w:szCs w:val="28"/>
        </w:rPr>
        <w:t xml:space="preserve">Criterios de evaluación</w:t>
      </w:r>
    </w:p>
    <w:p>
      <w:pPr>
        <w:pStyle w:val="ListParagraph"/>
        <w:numPr>
          <w:ilvl w:val="0"/>
          <w:numId w:val="2"/>
        </w:numPr>
        <w:spacing w:after="100"/>
      </w:pPr>
      <w:r>
        <w:rPr>
          <w:rFonts w:ascii="Calibri" w:cs="Calibri" w:eastAsia="Calibri" w:hAnsi="Calibri"/>
          <w:color w:val="3B3B3B"/>
          <w:sz w:val="22"/>
          <w:szCs w:val="22"/>
        </w:rPr>
        <w:t xml:space="preserve">Aplicación correcta de los conceptos de concepto, evolución y enfoques del mercadeo.</w:t>
      </w:r>
    </w:p>
    <w:p>
      <w:pPr>
        <w:pStyle w:val="ListParagraph"/>
        <w:numPr>
          <w:ilvl w:val="0"/>
          <w:numId w:val="2"/>
        </w:numPr>
        <w:spacing w:after="100"/>
      </w:pPr>
      <w:r>
        <w:rPr>
          <w:rFonts w:ascii="Calibri" w:cs="Calibri" w:eastAsia="Calibri" w:hAnsi="Calibri"/>
          <w:color w:val="3B3B3B"/>
          <w:sz w:val="22"/>
          <w:szCs w:val="22"/>
        </w:rPr>
        <w:t xml:space="preserve">Identificación pertinente de actores del microentorno y factores PESTEL, con justificación basada en el caso.</w:t>
      </w:r>
    </w:p>
    <w:p>
      <w:pPr>
        <w:pStyle w:val="ListParagraph"/>
        <w:numPr>
          <w:ilvl w:val="0"/>
          <w:numId w:val="2"/>
        </w:numPr>
        <w:spacing w:after="100"/>
      </w:pPr>
      <w:r>
        <w:rPr>
          <w:rFonts w:ascii="Calibri" w:cs="Calibri" w:eastAsia="Calibri" w:hAnsi="Calibri"/>
          <w:color w:val="3B3B3B"/>
          <w:sz w:val="22"/>
          <w:szCs w:val="22"/>
        </w:rPr>
        <w:t xml:space="preserve">Claridad, redacción y coherencia argumentativa de las respuestas.</w:t>
      </w:r>
    </w:p>
    <w:p>
      <w:pPr>
        <w:pStyle w:val="ListParagraph"/>
        <w:numPr>
          <w:ilvl w:val="0"/>
          <w:numId w:val="2"/>
        </w:numPr>
        <w:spacing w:after="100"/>
      </w:pPr>
      <w:r>
        <w:rPr>
          <w:rFonts w:ascii="Calibri" w:cs="Calibri" w:eastAsia="Calibri" w:hAnsi="Calibri"/>
          <w:color w:val="3B3B3B"/>
          <w:sz w:val="22"/>
          <w:szCs w:val="22"/>
        </w:rPr>
        <w:t xml:space="preserve">Entrega puntual, antes del inicio de la Semana 3.</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Página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6"/>
        <w:szCs w:val="16"/>
      </w:rPr>
      <w:t xml:space="preserve">Fundamentos de Mercadeo · ANI111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2026-09-04T17:12:58.250Z</dcterms:created>
  <dcterms:modified xsi:type="dcterms:W3CDTF">2026-09-04T17:12:58.250Z</dcterms:modified>
</cp:coreProperties>
</file>

<file path=docProps/custom.xml><?xml version="1.0" encoding="utf-8"?>
<Properties xmlns="http://schemas.openxmlformats.org/officeDocument/2006/custom-properties" xmlns:vt="http://schemas.openxmlformats.org/officeDocument/2006/docPropsVTypes"/>
</file>