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3B35E" w14:textId="48191514" w:rsidR="0090363C" w:rsidRPr="00353DC5" w:rsidRDefault="0090363C" w:rsidP="0090363C">
      <w:pPr>
        <w:pStyle w:val="Ttulo"/>
        <w:rPr>
          <w:rFonts w:ascii="Times New Roman" w:hAnsi="Times New Roman" w:cs="Times New Roman"/>
          <w:b/>
          <w:bCs/>
          <w:sz w:val="24"/>
          <w:szCs w:val="24"/>
        </w:rPr>
      </w:pPr>
      <w:r w:rsidRPr="00353DC5">
        <w:rPr>
          <w:rFonts w:ascii="Times New Roman" w:hAnsi="Times New Roman" w:cs="Times New Roman"/>
          <w:b/>
          <w:bCs/>
          <w:sz w:val="24"/>
          <w:szCs w:val="24"/>
        </w:rPr>
        <w:t>SEMINARIO 1 – PRUEBAS SABER PRO. 02- 2026</w:t>
      </w:r>
    </w:p>
    <w:p w14:paraId="7C69F447" w14:textId="77777777" w:rsidR="0090363C" w:rsidRPr="00353DC5" w:rsidRDefault="0090363C" w:rsidP="0090363C">
      <w:pPr>
        <w:pStyle w:val="Ttul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DAF87" w14:textId="2534FA10" w:rsidR="0090363C" w:rsidRPr="00353DC5" w:rsidRDefault="0090363C" w:rsidP="0090363C">
      <w:pPr>
        <w:pStyle w:val="Ttulo"/>
        <w:rPr>
          <w:rFonts w:ascii="Times New Roman" w:hAnsi="Times New Roman" w:cs="Times New Roman"/>
          <w:b/>
          <w:bCs/>
          <w:sz w:val="24"/>
          <w:szCs w:val="24"/>
        </w:rPr>
      </w:pPr>
      <w:r w:rsidRPr="00353DC5">
        <w:rPr>
          <w:rFonts w:ascii="Times New Roman" w:hAnsi="Times New Roman" w:cs="Times New Roman"/>
          <w:b/>
          <w:bCs/>
          <w:sz w:val="24"/>
          <w:szCs w:val="24"/>
        </w:rPr>
        <w:t>Conceptos Clave de Arquitectura y Urbanismo</w:t>
      </w:r>
    </w:p>
    <w:p w14:paraId="572B8583" w14:textId="77777777" w:rsidR="0090363C" w:rsidRPr="00353DC5" w:rsidRDefault="0090363C" w:rsidP="0090363C">
      <w:pPr>
        <w:pStyle w:val="Prrafodelista"/>
        <w:rPr>
          <w:rFonts w:ascii="Times New Roman" w:hAnsi="Times New Roman" w:cs="Times New Roman"/>
        </w:rPr>
      </w:pPr>
    </w:p>
    <w:p w14:paraId="74BC3A73" w14:textId="3C1E7993" w:rsidR="0090363C" w:rsidRPr="00FD7F91" w:rsidRDefault="00353DC5" w:rsidP="00031EB3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highlight w:val="yellow"/>
        </w:rPr>
      </w:pPr>
      <w:r w:rsidRPr="00FD7F91">
        <w:rPr>
          <w:rFonts w:ascii="Times New Roman" w:hAnsi="Times New Roman" w:cs="Times New Roman"/>
          <w:highlight w:val="yellow"/>
        </w:rPr>
        <w:t>H</w:t>
      </w:r>
      <w:r w:rsidR="0090363C" w:rsidRPr="00FD7F91">
        <w:rPr>
          <w:rFonts w:ascii="Times New Roman" w:hAnsi="Times New Roman" w:cs="Times New Roman"/>
          <w:highlight w:val="yellow"/>
        </w:rPr>
        <w:t>orizontalidad, equilibrio, predominio del vano sobre el lleno</w:t>
      </w:r>
      <w:r w:rsidR="00031EB3" w:rsidRPr="00FD7F91">
        <w:rPr>
          <w:rFonts w:ascii="Times New Roman" w:hAnsi="Times New Roman" w:cs="Times New Roman"/>
          <w:highlight w:val="yellow"/>
        </w:rPr>
        <w:t xml:space="preserve"> </w:t>
      </w:r>
    </w:p>
    <w:p w14:paraId="741B334D" w14:textId="2CE22ADB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highlight w:val="yellow"/>
        </w:rPr>
      </w:pPr>
      <w:r w:rsidRPr="00FD7F91">
        <w:rPr>
          <w:rFonts w:ascii="Times New Roman" w:hAnsi="Times New Roman" w:cs="Times New Roman"/>
          <w:highlight w:val="yellow"/>
        </w:rPr>
        <w:t>Casa Tronco, de Paul Morgan, casa de alquiler de fin de semana, diseñada como árboles que se ramifican y se integran al entorno, es un</w:t>
      </w:r>
      <w:r w:rsidRPr="00FD7F91">
        <w:rPr>
          <w:rFonts w:ascii="Times New Roman" w:hAnsi="Times New Roman" w:cs="Times New Roman"/>
          <w:sz w:val="22"/>
          <w:szCs w:val="22"/>
          <w:highlight w:val="yellow"/>
        </w:rPr>
        <w:t xml:space="preserve"> bosque</w:t>
      </w:r>
      <w:r w:rsidR="00031EB3" w:rsidRPr="00FD7F91">
        <w:rPr>
          <w:rFonts w:ascii="Times New Roman" w:hAnsi="Times New Roman" w:cs="Times New Roman"/>
          <w:sz w:val="16"/>
          <w:szCs w:val="16"/>
          <w:highlight w:val="yellow"/>
        </w:rPr>
        <w:t xml:space="preserve"> </w:t>
      </w:r>
    </w:p>
    <w:p w14:paraId="528C15F8" w14:textId="6F6DF103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highlight w:val="yellow"/>
        </w:rPr>
      </w:pPr>
      <w:r w:rsidRPr="00FD7F91">
        <w:rPr>
          <w:rFonts w:ascii="Times New Roman" w:hAnsi="Times New Roman" w:cs="Times New Roman"/>
          <w:highlight w:val="yellow"/>
        </w:rPr>
        <w:t>Fanelli y Gargiani</w:t>
      </w:r>
      <w:r w:rsidR="004F351C" w:rsidRPr="00FD7F91">
        <w:rPr>
          <w:rFonts w:ascii="Times New Roman" w:hAnsi="Times New Roman" w:cs="Times New Roman"/>
          <w:sz w:val="16"/>
          <w:szCs w:val="16"/>
          <w:highlight w:val="yellow"/>
        </w:rPr>
        <w:t xml:space="preserve"> </w:t>
      </w:r>
    </w:p>
    <w:p w14:paraId="6333B4D1" w14:textId="0903BCC8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highlight w:val="yellow"/>
        </w:rPr>
      </w:pPr>
      <w:r w:rsidRPr="00FD7F91">
        <w:rPr>
          <w:rFonts w:ascii="Times New Roman" w:hAnsi="Times New Roman" w:cs="Times New Roman"/>
          <w:highlight w:val="yellow"/>
        </w:rPr>
        <w:t xml:space="preserve">Estructura </w:t>
      </w:r>
      <w:r w:rsidR="00BE0764" w:rsidRPr="00FD7F91">
        <w:rPr>
          <w:rFonts w:ascii="Times New Roman" w:hAnsi="Times New Roman" w:cs="Times New Roman"/>
          <w:highlight w:val="yellow"/>
        </w:rPr>
        <w:t xml:space="preserve">claustral </w:t>
      </w:r>
    </w:p>
    <w:p w14:paraId="51AC9B14" w14:textId="5DC6FC9D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highlight w:val="yellow"/>
        </w:rPr>
      </w:pPr>
      <w:r w:rsidRPr="00FD7F91">
        <w:rPr>
          <w:rFonts w:ascii="Times New Roman" w:hAnsi="Times New Roman" w:cs="Times New Roman"/>
          <w:highlight w:val="yellow"/>
        </w:rPr>
        <w:t>los trazados de Bernini, escultor y arquitecto barroco que propuso esa plaza para la Roma del siglo XVII como parte de sus propuestas urbanas.</w:t>
      </w:r>
      <w:r w:rsidR="00BE0764" w:rsidRPr="00FD7F91">
        <w:rPr>
          <w:highlight w:val="yellow"/>
        </w:rPr>
        <w:t xml:space="preserve"> </w:t>
      </w:r>
      <w:r w:rsidR="00BE0764" w:rsidRPr="00FD7F91">
        <w:rPr>
          <w:rFonts w:ascii="Times New Roman" w:hAnsi="Times New Roman" w:cs="Times New Roman"/>
          <w:sz w:val="16"/>
          <w:szCs w:val="16"/>
          <w:highlight w:val="yellow"/>
        </w:rPr>
        <w:t xml:space="preserve">CAROL MICHAEL HURTADO PAZ </w:t>
      </w:r>
    </w:p>
    <w:p w14:paraId="65C63058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highlight w:val="yellow"/>
        </w:rPr>
      </w:pPr>
      <w:r w:rsidRPr="00FD7F91">
        <w:rPr>
          <w:rFonts w:ascii="Times New Roman" w:hAnsi="Times New Roman" w:cs="Times New Roman"/>
          <w:highlight w:val="yellow"/>
        </w:rPr>
        <w:t>La arquitectura republicana en Colombia</w:t>
      </w:r>
    </w:p>
    <w:p w14:paraId="7F399740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highlight w:val="yellow"/>
        </w:rPr>
      </w:pPr>
      <w:r w:rsidRPr="00FD7F91">
        <w:rPr>
          <w:rFonts w:ascii="Times New Roman" w:hAnsi="Times New Roman" w:cs="Times New Roman"/>
          <w:highlight w:val="yellow"/>
        </w:rPr>
        <w:t>Emplazamientos Quimbayas.</w:t>
      </w:r>
    </w:p>
    <w:p w14:paraId="5F6C790B" w14:textId="29C0763A" w:rsidR="0090363C" w:rsidRPr="00FD7F91" w:rsidRDefault="00AE34EF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highlight w:val="yellow"/>
        </w:rPr>
      </w:pPr>
      <w:r w:rsidRPr="00FD7F91">
        <w:rPr>
          <w:rFonts w:ascii="Times New Roman" w:hAnsi="Times New Roman" w:cs="Times New Roman"/>
          <w:highlight w:val="yellow"/>
        </w:rPr>
        <w:t>Teorías</w:t>
      </w:r>
      <w:r w:rsidR="0090363C" w:rsidRPr="00FD7F91">
        <w:rPr>
          <w:rFonts w:ascii="Times New Roman" w:hAnsi="Times New Roman" w:cs="Times New Roman"/>
          <w:highlight w:val="yellow"/>
        </w:rPr>
        <w:t xml:space="preserve"> de Carlo Aymonino</w:t>
      </w:r>
    </w:p>
    <w:p w14:paraId="5F6C9281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highlight w:val="yellow"/>
        </w:rPr>
      </w:pPr>
      <w:r w:rsidRPr="00FD7F91">
        <w:rPr>
          <w:rFonts w:ascii="Times New Roman" w:hAnsi="Times New Roman" w:cs="Times New Roman"/>
          <w:highlight w:val="yellow"/>
        </w:rPr>
        <w:t>Casa Robie</w:t>
      </w:r>
    </w:p>
    <w:p w14:paraId="633D5433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highlight w:val="yellow"/>
        </w:rPr>
      </w:pPr>
      <w:r w:rsidRPr="00FD7F91">
        <w:rPr>
          <w:rFonts w:ascii="Times New Roman" w:hAnsi="Times New Roman" w:cs="Times New Roman"/>
          <w:highlight w:val="yellow"/>
        </w:rPr>
        <w:t>Arquitectura vernácula</w:t>
      </w:r>
    </w:p>
    <w:p w14:paraId="42D4139A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highlight w:val="yellow"/>
        </w:rPr>
      </w:pPr>
      <w:r w:rsidRPr="00FD7F91">
        <w:rPr>
          <w:rFonts w:ascii="Times New Roman" w:hAnsi="Times New Roman" w:cs="Times New Roman"/>
          <w:highlight w:val="yellow"/>
        </w:rPr>
        <w:t>El enfriamiento radiante en arquitectura</w:t>
      </w:r>
    </w:p>
    <w:p w14:paraId="5D00C413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Estructura de muros y diagonales, nuevas técnicas de construcción, desarrollo equipos mecánicos y desarrollo del muro cortina</w:t>
      </w:r>
    </w:p>
    <w:p w14:paraId="016EF189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Estructura dual o híbrida, procesos de prefabricación, desarrollo de sistemas contraincendios y fachada continua.</w:t>
      </w:r>
    </w:p>
    <w:p w14:paraId="1834C613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Locus.</w:t>
      </w:r>
    </w:p>
    <w:p w14:paraId="3B9F8E50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Aldo Rossi</w:t>
      </w:r>
    </w:p>
    <w:p w14:paraId="73235602" w14:textId="36F644C0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 xml:space="preserve"> PBOT y EOT</w:t>
      </w:r>
      <w:r w:rsidR="00875825" w:rsidRPr="00FD7F91">
        <w:rPr>
          <w:rFonts w:ascii="Times New Roman" w:hAnsi="Times New Roman" w:cs="Times New Roman"/>
        </w:rPr>
        <w:t>, POT</w:t>
      </w:r>
    </w:p>
    <w:p w14:paraId="2DA78310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FD7F91">
        <w:rPr>
          <w:rFonts w:ascii="Times New Roman" w:hAnsi="Times New Roman" w:cs="Times New Roman"/>
          <w:i/>
          <w:iCs/>
        </w:rPr>
        <w:t>velabrun</w:t>
      </w:r>
      <w:proofErr w:type="spellEnd"/>
      <w:r w:rsidRPr="00FD7F91">
        <w:rPr>
          <w:rFonts w:ascii="Times New Roman" w:hAnsi="Times New Roman" w:cs="Times New Roman"/>
          <w:i/>
          <w:iCs/>
        </w:rPr>
        <w:t xml:space="preserve"> </w:t>
      </w:r>
      <w:r w:rsidRPr="00FD7F91">
        <w:rPr>
          <w:rFonts w:ascii="Times New Roman" w:hAnsi="Times New Roman" w:cs="Times New Roman"/>
        </w:rPr>
        <w:t>y el palatino.</w:t>
      </w:r>
    </w:p>
    <w:p w14:paraId="0E5BCBDD" w14:textId="59EA3F59" w:rsidR="0090363C" w:rsidRPr="00FD7F91" w:rsidRDefault="00875825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R</w:t>
      </w:r>
      <w:r w:rsidR="0090363C" w:rsidRPr="00FD7F91">
        <w:rPr>
          <w:rFonts w:ascii="Times New Roman" w:hAnsi="Times New Roman" w:cs="Times New Roman"/>
        </w:rPr>
        <w:t>etícula hipodámica.</w:t>
      </w:r>
    </w:p>
    <w:p w14:paraId="72A8A8F6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Fábrica de Turbinas de la AEG de Peter Behrens</w:t>
      </w:r>
    </w:p>
    <w:p w14:paraId="4B66D0BD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Ciudad Jardín</w:t>
      </w:r>
    </w:p>
    <w:p w14:paraId="4262C7BD" w14:textId="601FBC6C" w:rsidR="0090363C" w:rsidRPr="00FD7F91" w:rsidRDefault="00875825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A</w:t>
      </w:r>
      <w:r w:rsidR="0090363C" w:rsidRPr="00FD7F91">
        <w:rPr>
          <w:rFonts w:ascii="Times New Roman" w:hAnsi="Times New Roman" w:cs="Times New Roman"/>
        </w:rPr>
        <w:t xml:space="preserve">rquitectura </w:t>
      </w:r>
      <w:proofErr w:type="spellStart"/>
      <w:r w:rsidR="0090363C" w:rsidRPr="00FD7F91">
        <w:rPr>
          <w:rFonts w:ascii="Times New Roman" w:hAnsi="Times New Roman" w:cs="Times New Roman"/>
        </w:rPr>
        <w:t>tardorrománica</w:t>
      </w:r>
      <w:proofErr w:type="spellEnd"/>
    </w:p>
    <w:p w14:paraId="629578C5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 xml:space="preserve">El foro </w:t>
      </w:r>
    </w:p>
    <w:p w14:paraId="1B4718FA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El ágora</w:t>
      </w:r>
    </w:p>
    <w:p w14:paraId="1195E885" w14:textId="606F2983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 xml:space="preserve">Pabellón de Alemania en la feria </w:t>
      </w:r>
      <w:r w:rsidR="00AE34EF" w:rsidRPr="00FD7F91">
        <w:rPr>
          <w:rFonts w:ascii="Times New Roman" w:hAnsi="Times New Roman" w:cs="Times New Roman"/>
        </w:rPr>
        <w:t>universal</w:t>
      </w:r>
      <w:r w:rsidRPr="00FD7F91">
        <w:rPr>
          <w:rFonts w:ascii="Times New Roman" w:hAnsi="Times New Roman" w:cs="Times New Roman"/>
        </w:rPr>
        <w:t xml:space="preserve"> de 1929</w:t>
      </w:r>
    </w:p>
    <w:p w14:paraId="3F05E48C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Los sistemas de resistencia sísmica de la NSR 10</w:t>
      </w:r>
    </w:p>
    <w:p w14:paraId="601DAB78" w14:textId="77777777" w:rsidR="0090363C" w:rsidRPr="00FD7F91" w:rsidRDefault="0090363C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Significado de estructuras DES, DMO y DMI</w:t>
      </w:r>
    </w:p>
    <w:p w14:paraId="6D4807E9" w14:textId="06CDEB84" w:rsidR="0090363C" w:rsidRPr="00FD7F91" w:rsidRDefault="00AE34EF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Diferencias</w:t>
      </w:r>
      <w:r w:rsidR="0090363C" w:rsidRPr="00FD7F91">
        <w:rPr>
          <w:rFonts w:ascii="Times New Roman" w:hAnsi="Times New Roman" w:cs="Times New Roman"/>
        </w:rPr>
        <w:t xml:space="preserve"> entre </w:t>
      </w:r>
      <w:r w:rsidRPr="00FD7F91">
        <w:rPr>
          <w:rFonts w:ascii="Times New Roman" w:hAnsi="Times New Roman" w:cs="Times New Roman"/>
        </w:rPr>
        <w:t>mampostería</w:t>
      </w:r>
      <w:r w:rsidR="0090363C" w:rsidRPr="00FD7F91">
        <w:rPr>
          <w:rFonts w:ascii="Times New Roman" w:hAnsi="Times New Roman" w:cs="Times New Roman"/>
        </w:rPr>
        <w:t xml:space="preserve"> confinada y muros en bloque estructural</w:t>
      </w:r>
      <w:r w:rsidR="00FD0CA0" w:rsidRPr="00FD7F91">
        <w:rPr>
          <w:rFonts w:ascii="Times New Roman" w:hAnsi="Times New Roman" w:cs="Times New Roman"/>
        </w:rPr>
        <w:t>.</w:t>
      </w:r>
    </w:p>
    <w:p w14:paraId="7F64765E" w14:textId="322A15BD" w:rsidR="0090363C" w:rsidRPr="00FD7F91" w:rsidRDefault="00AE34EF" w:rsidP="0090363C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FD7F91">
        <w:rPr>
          <w:rFonts w:ascii="Times New Roman" w:hAnsi="Times New Roman" w:cs="Times New Roman"/>
        </w:rPr>
        <w:t>Cuáles</w:t>
      </w:r>
      <w:r w:rsidR="0090363C" w:rsidRPr="00FD7F91">
        <w:rPr>
          <w:rFonts w:ascii="Times New Roman" w:hAnsi="Times New Roman" w:cs="Times New Roman"/>
        </w:rPr>
        <w:t xml:space="preserve"> son las estructuras mixtas</w:t>
      </w:r>
    </w:p>
    <w:p w14:paraId="33774197" w14:textId="5B087524" w:rsidR="0090363C" w:rsidRPr="005643E8" w:rsidRDefault="005643E8">
      <w:pPr>
        <w:rPr>
          <w:rFonts w:ascii="Times New Roman" w:hAnsi="Times New Roman" w:cs="Times New Roman"/>
          <w:b/>
          <w:bCs/>
        </w:rPr>
      </w:pPr>
      <w:r w:rsidRPr="005643E8">
        <w:rPr>
          <w:rFonts w:ascii="Times New Roman" w:hAnsi="Times New Roman" w:cs="Times New Roman"/>
          <w:b/>
          <w:bCs/>
        </w:rPr>
        <w:t>No olvidar que los temas a investigar deben corresponder siempre a la arquitectura y sus diferentes áreas de desempeño, por lo que se deberá realizar una investigación rigurosa que permita tener clara esta relación, a pesar de que lo solicitado está representado en una sola palabra o frase corta.</w:t>
      </w:r>
    </w:p>
    <w:sectPr w:rsidR="0090363C" w:rsidRPr="005643E8" w:rsidSect="00031EB3"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E6B5F"/>
    <w:multiLevelType w:val="hybridMultilevel"/>
    <w:tmpl w:val="7F22CFCC"/>
    <w:lvl w:ilvl="0" w:tplc="1F5EB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40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63C"/>
    <w:rsid w:val="00031EB3"/>
    <w:rsid w:val="00353DC5"/>
    <w:rsid w:val="00393E6E"/>
    <w:rsid w:val="004D5177"/>
    <w:rsid w:val="004F351C"/>
    <w:rsid w:val="005643E8"/>
    <w:rsid w:val="006B0965"/>
    <w:rsid w:val="00875825"/>
    <w:rsid w:val="0090363C"/>
    <w:rsid w:val="00A57F81"/>
    <w:rsid w:val="00AC4B6D"/>
    <w:rsid w:val="00AE34EF"/>
    <w:rsid w:val="00BE0764"/>
    <w:rsid w:val="00CE143B"/>
    <w:rsid w:val="00DA6D19"/>
    <w:rsid w:val="00E72AA6"/>
    <w:rsid w:val="00ED432B"/>
    <w:rsid w:val="00F33458"/>
    <w:rsid w:val="00FD0CA0"/>
    <w:rsid w:val="00FD7F91"/>
    <w:rsid w:val="00FE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4CCB"/>
  <w15:chartTrackingRefBased/>
  <w15:docId w15:val="{4FF2F48E-6F31-458B-997A-E0EDD7FF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03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3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3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3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3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3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3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3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3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3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3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3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363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363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36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363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36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36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3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3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3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3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3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363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363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363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3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363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36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258</Words>
  <Characters>1388</Characters>
  <Application>Microsoft Office Word</Application>
  <DocSecurity>0</DocSecurity>
  <Lines>39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Diaz Benavides</dc:creator>
  <cp:keywords/>
  <dc:description/>
  <cp:lastModifiedBy>Henry Diaz Benavides</cp:lastModifiedBy>
  <cp:revision>4</cp:revision>
  <dcterms:created xsi:type="dcterms:W3CDTF">2026-09-19T15:51:00Z</dcterms:created>
  <dcterms:modified xsi:type="dcterms:W3CDTF">2026-09-19T16:01:00Z</dcterms:modified>
</cp:coreProperties>
</file>